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2B" w:rsidRDefault="000E7438" w:rsidP="000E7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438">
        <w:rPr>
          <w:rFonts w:ascii="Times New Roman" w:hAnsi="Times New Roman" w:cs="Times New Roman"/>
          <w:sz w:val="24"/>
          <w:szCs w:val="24"/>
        </w:rPr>
        <w:t>В целях совершенствования порядка регулирования землепользовани</w:t>
      </w:r>
      <w:r>
        <w:rPr>
          <w:rFonts w:ascii="Times New Roman" w:hAnsi="Times New Roman" w:cs="Times New Roman"/>
          <w:sz w:val="24"/>
          <w:szCs w:val="24"/>
        </w:rPr>
        <w:t xml:space="preserve">я и застройки на  территории </w:t>
      </w:r>
      <w:r w:rsidRPr="000E74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FD3B6E">
        <w:rPr>
          <w:rFonts w:ascii="Times New Roman" w:hAnsi="Times New Roman" w:cs="Times New Roman"/>
          <w:sz w:val="24"/>
          <w:szCs w:val="24"/>
        </w:rPr>
        <w:t>,</w:t>
      </w:r>
      <w:r w:rsidRPr="000E7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заключения Комиссии  </w:t>
      </w:r>
      <w:r w:rsidR="00FD3B6E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застройки муниципального образования «Муниципальный округ </w:t>
      </w:r>
      <w:proofErr w:type="spellStart"/>
      <w:r w:rsidR="00FD3B6E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FD3B6E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Республики, Распоряжения  Правительства Удмуртской Республики от 15.08.2025 г. № 854-р «О подготовке проекта  по внесению изменений в Правила землепользования и застройки муниципального образования «</w:t>
      </w:r>
      <w:proofErr w:type="spellStart"/>
      <w:r w:rsidR="00FD3B6E">
        <w:rPr>
          <w:rFonts w:ascii="Times New Roman" w:hAnsi="Times New Roman" w:cs="Times New Roman"/>
          <w:sz w:val="24"/>
          <w:szCs w:val="24"/>
        </w:rPr>
        <w:t>Горнякское</w:t>
      </w:r>
      <w:proofErr w:type="spellEnd"/>
      <w:r w:rsidR="00FD3B6E">
        <w:rPr>
          <w:rFonts w:ascii="Times New Roman" w:hAnsi="Times New Roman" w:cs="Times New Roman"/>
          <w:sz w:val="24"/>
          <w:szCs w:val="24"/>
        </w:rPr>
        <w:t>»</w:t>
      </w:r>
      <w:r w:rsidR="00FD3B6E" w:rsidRPr="000E7438">
        <w:t xml:space="preserve"> </w:t>
      </w:r>
      <w:proofErr w:type="spellStart"/>
      <w:r w:rsidR="00FD3B6E" w:rsidRPr="000E7438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FD3B6E" w:rsidRPr="000E743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Республики, утвержденные Распоряж</w:t>
      </w:r>
      <w:r w:rsidR="00FD3B6E">
        <w:rPr>
          <w:rFonts w:ascii="Times New Roman" w:hAnsi="Times New Roman" w:cs="Times New Roman"/>
          <w:sz w:val="24"/>
          <w:szCs w:val="24"/>
        </w:rPr>
        <w:t>ением Правительства Удмуртской Р</w:t>
      </w:r>
      <w:r w:rsidR="00FD3B6E" w:rsidRPr="000E7438">
        <w:rPr>
          <w:rFonts w:ascii="Times New Roman" w:hAnsi="Times New Roman" w:cs="Times New Roman"/>
          <w:sz w:val="24"/>
          <w:szCs w:val="24"/>
        </w:rPr>
        <w:t>еспублики от</w:t>
      </w:r>
      <w:proofErr w:type="gramEnd"/>
      <w:r w:rsidR="00FD3B6E" w:rsidRPr="000E7438">
        <w:rPr>
          <w:rFonts w:ascii="Times New Roman" w:hAnsi="Times New Roman" w:cs="Times New Roman"/>
          <w:sz w:val="24"/>
          <w:szCs w:val="24"/>
        </w:rPr>
        <w:t xml:space="preserve"> 26 октября 2018 года № 1245-р «Об утверждении Правил землепользования и застройки муниципального образования «</w:t>
      </w:r>
      <w:proofErr w:type="spellStart"/>
      <w:r w:rsidR="00FD3B6E" w:rsidRPr="000E7438">
        <w:rPr>
          <w:rFonts w:ascii="Times New Roman" w:hAnsi="Times New Roman" w:cs="Times New Roman"/>
          <w:sz w:val="24"/>
          <w:szCs w:val="24"/>
        </w:rPr>
        <w:t>Горнякское</w:t>
      </w:r>
      <w:proofErr w:type="spellEnd"/>
      <w:r w:rsidR="00FD3B6E" w:rsidRPr="000E743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D3B6E" w:rsidRPr="000E7438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FD3B6E" w:rsidRPr="000E7438">
        <w:rPr>
          <w:rFonts w:ascii="Times New Roman" w:hAnsi="Times New Roman" w:cs="Times New Roman"/>
          <w:sz w:val="24"/>
          <w:szCs w:val="24"/>
        </w:rPr>
        <w:t xml:space="preserve"> района Удмуртс</w:t>
      </w:r>
      <w:r w:rsidR="00FD3B6E">
        <w:rPr>
          <w:rFonts w:ascii="Times New Roman" w:hAnsi="Times New Roman" w:cs="Times New Roman"/>
          <w:sz w:val="24"/>
          <w:szCs w:val="24"/>
        </w:rPr>
        <w:t>кой Республики»,</w:t>
      </w:r>
      <w:r w:rsidR="00E5127E">
        <w:rPr>
          <w:rFonts w:ascii="Times New Roman" w:hAnsi="Times New Roman" w:cs="Times New Roman"/>
          <w:sz w:val="24"/>
          <w:szCs w:val="24"/>
        </w:rPr>
        <w:t xml:space="preserve"> внести</w:t>
      </w:r>
      <w:r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Горнякское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E7438">
        <w:t xml:space="preserve"> </w:t>
      </w:r>
      <w:proofErr w:type="spellStart"/>
      <w:r w:rsidRPr="000E7438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Pr="000E7438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</w:t>
      </w:r>
      <w:r w:rsidR="00E5127E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D6571D">
        <w:rPr>
          <w:rFonts w:ascii="Times New Roman" w:hAnsi="Times New Roman" w:cs="Times New Roman"/>
          <w:sz w:val="24"/>
          <w:szCs w:val="24"/>
        </w:rPr>
        <w:t>:</w:t>
      </w:r>
    </w:p>
    <w:p w:rsidR="00E14BCE" w:rsidRDefault="00D6571D" w:rsidP="00D657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C7CCC">
        <w:rPr>
          <w:rFonts w:ascii="Times New Roman" w:hAnsi="Times New Roman" w:cs="Times New Roman"/>
          <w:sz w:val="24"/>
          <w:szCs w:val="24"/>
        </w:rPr>
        <w:t xml:space="preserve"> </w:t>
      </w:r>
      <w:r w:rsidR="005D747F">
        <w:rPr>
          <w:rFonts w:ascii="Times New Roman" w:hAnsi="Times New Roman" w:cs="Times New Roman"/>
          <w:sz w:val="24"/>
          <w:szCs w:val="24"/>
        </w:rPr>
        <w:t>ст.</w:t>
      </w:r>
      <w:r w:rsidR="00187ECA">
        <w:rPr>
          <w:rFonts w:ascii="Times New Roman" w:hAnsi="Times New Roman" w:cs="Times New Roman"/>
          <w:sz w:val="24"/>
          <w:szCs w:val="24"/>
        </w:rPr>
        <w:t xml:space="preserve"> </w:t>
      </w:r>
      <w:r w:rsidR="005D747F">
        <w:rPr>
          <w:rFonts w:ascii="Times New Roman" w:hAnsi="Times New Roman" w:cs="Times New Roman"/>
          <w:sz w:val="24"/>
          <w:szCs w:val="24"/>
        </w:rPr>
        <w:t>23</w:t>
      </w:r>
      <w:r w:rsidR="007A2F53">
        <w:rPr>
          <w:rFonts w:ascii="Times New Roman" w:hAnsi="Times New Roman" w:cs="Times New Roman"/>
          <w:sz w:val="24"/>
          <w:szCs w:val="24"/>
        </w:rPr>
        <w:t xml:space="preserve"> Градостроительного регламента </w:t>
      </w:r>
      <w:r w:rsidR="007A2F53" w:rsidRPr="007A2F53">
        <w:rPr>
          <w:rFonts w:ascii="Times New Roman" w:hAnsi="Times New Roman" w:cs="Times New Roman"/>
          <w:sz w:val="24"/>
          <w:szCs w:val="24"/>
        </w:rPr>
        <w:t xml:space="preserve">«Зона производственных объектов IV – V </w:t>
      </w:r>
      <w:bookmarkStart w:id="0" w:name="_GoBack"/>
      <w:bookmarkEnd w:id="0"/>
      <w:r w:rsidR="007A2F53" w:rsidRPr="007A2F53">
        <w:rPr>
          <w:rFonts w:ascii="Times New Roman" w:hAnsi="Times New Roman" w:cs="Times New Roman"/>
          <w:sz w:val="24"/>
          <w:szCs w:val="24"/>
        </w:rPr>
        <w:t>класс опасности»</w:t>
      </w:r>
      <w:r w:rsidR="007A2F53">
        <w:rPr>
          <w:rFonts w:ascii="Times New Roman" w:hAnsi="Times New Roman" w:cs="Times New Roman"/>
          <w:sz w:val="24"/>
          <w:szCs w:val="24"/>
        </w:rPr>
        <w:t xml:space="preserve"> дополнить основные виды разрешенного использования земельного участка</w:t>
      </w:r>
      <w:r w:rsidR="00AD4A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1864"/>
        <w:gridCol w:w="992"/>
        <w:gridCol w:w="2694"/>
        <w:gridCol w:w="1763"/>
        <w:gridCol w:w="1491"/>
      </w:tblGrid>
      <w:tr w:rsidR="007A2F53" w:rsidRPr="007A2F53" w:rsidTr="001F66F3">
        <w:tc>
          <w:tcPr>
            <w:tcW w:w="541" w:type="dxa"/>
          </w:tcPr>
          <w:p w:rsidR="007A2F53" w:rsidRPr="007A2F53" w:rsidRDefault="007A2F53" w:rsidP="005D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2F53" w:rsidRPr="007A2F53" w:rsidRDefault="007A2F53" w:rsidP="005D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4" w:type="dxa"/>
          </w:tcPr>
          <w:p w:rsidR="007A2F53" w:rsidRPr="007A2F53" w:rsidRDefault="007A2F53" w:rsidP="007A2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Основные виды разрешенного использования земельного участка</w:t>
            </w:r>
          </w:p>
        </w:tc>
        <w:tc>
          <w:tcPr>
            <w:tcW w:w="992" w:type="dxa"/>
          </w:tcPr>
          <w:p w:rsidR="007A2F53" w:rsidRPr="007A2F53" w:rsidRDefault="007A2F53" w:rsidP="007A2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2694" w:type="dxa"/>
          </w:tcPr>
          <w:p w:rsidR="007A2F53" w:rsidRPr="007A2F53" w:rsidRDefault="007A2F53" w:rsidP="005D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Основные виды разрешенного использования объектов капитального строительства</w:t>
            </w:r>
          </w:p>
        </w:tc>
        <w:tc>
          <w:tcPr>
            <w:tcW w:w="1763" w:type="dxa"/>
          </w:tcPr>
          <w:p w:rsidR="007A2F53" w:rsidRPr="007A2F53" w:rsidRDefault="007A2F53" w:rsidP="007A2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Вспомогательные виды разрешенного использования</w:t>
            </w:r>
          </w:p>
        </w:tc>
        <w:tc>
          <w:tcPr>
            <w:tcW w:w="1491" w:type="dxa"/>
          </w:tcPr>
          <w:p w:rsidR="007A2F53" w:rsidRPr="007A2F53" w:rsidRDefault="007A2F53" w:rsidP="005D60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F53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7A2F53" w:rsidTr="001F66F3">
        <w:tc>
          <w:tcPr>
            <w:tcW w:w="541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992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2694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изготовление вещей промышленным способом.</w:t>
            </w:r>
          </w:p>
        </w:tc>
        <w:tc>
          <w:tcPr>
            <w:tcW w:w="1763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53" w:rsidTr="001F66F3">
        <w:tc>
          <w:tcPr>
            <w:tcW w:w="541" w:type="dxa"/>
          </w:tcPr>
          <w:p w:rsidR="007A2F53" w:rsidRDefault="00187ECA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992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694" w:type="dxa"/>
          </w:tcPr>
          <w:p w:rsidR="007A2F53" w:rsidRDefault="00D506F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</w:t>
            </w:r>
            <w:r w:rsidR="0062423B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потребления, медицинских отходов, биологических отходов, радиоактивных, веществ разрушающих озоновый слой, а так же размещение объектов, размещения отходов, захоронения, хранения обезвреживание таких отходов (скотомогильников, мусоросжигательных и мусороперерабатывающих заводов, полигонов по </w:t>
            </w:r>
            <w:r w:rsidR="00624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1763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53" w:rsidTr="001F66F3">
        <w:tc>
          <w:tcPr>
            <w:tcW w:w="541" w:type="dxa"/>
          </w:tcPr>
          <w:p w:rsidR="007A2F53" w:rsidRDefault="00187ECA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0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7A2F53" w:rsidRDefault="0062423B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992" w:type="dxa"/>
          </w:tcPr>
          <w:p w:rsidR="007A2F53" w:rsidRDefault="0062423B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2694" w:type="dxa"/>
          </w:tcPr>
          <w:p w:rsidR="007A2F53" w:rsidRDefault="00552469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сервиса. Размещение автозаправочных станций (бензиновых, газовых); магазинов, сопутствующей торговли, зданий для организации общественного питания в качестве придорожного сервиса, размещение автомобильных моек и прачечных для автомобильных принадлежностей, мастерски, предназначенных для ремонта и обслуживания автомобилей.</w:t>
            </w:r>
          </w:p>
        </w:tc>
        <w:tc>
          <w:tcPr>
            <w:tcW w:w="1763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F53" w:rsidTr="001F66F3">
        <w:tc>
          <w:tcPr>
            <w:tcW w:w="541" w:type="dxa"/>
          </w:tcPr>
          <w:p w:rsidR="007A2F53" w:rsidRDefault="00187ECA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7A2F53" w:rsidRDefault="0058290E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992" w:type="dxa"/>
          </w:tcPr>
          <w:p w:rsidR="007A2F53" w:rsidRDefault="001F66F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2694" w:type="dxa"/>
          </w:tcPr>
          <w:p w:rsidR="007A2F53" w:rsidRDefault="001F66F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3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      </w:r>
          </w:p>
        </w:tc>
        <w:tc>
          <w:tcPr>
            <w:tcW w:w="1763" w:type="dxa"/>
          </w:tcPr>
          <w:p w:rsidR="007A2F53" w:rsidRDefault="001F66F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="005920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стоянки автомобилей</w:t>
            </w:r>
          </w:p>
        </w:tc>
        <w:tc>
          <w:tcPr>
            <w:tcW w:w="1491" w:type="dxa"/>
          </w:tcPr>
          <w:p w:rsidR="007A2F53" w:rsidRDefault="007A2F53" w:rsidP="005D6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47F" w:rsidRDefault="005D747F" w:rsidP="005D6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B0" w:rsidRDefault="001F66F3" w:rsidP="00A80F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71D">
        <w:rPr>
          <w:rFonts w:ascii="Times New Roman" w:hAnsi="Times New Roman" w:cs="Times New Roman"/>
          <w:sz w:val="24"/>
          <w:szCs w:val="24"/>
        </w:rPr>
        <w:t>. В</w:t>
      </w:r>
      <w:r w:rsidR="00A80F3C" w:rsidRPr="00A80F3C">
        <w:rPr>
          <w:rFonts w:ascii="Times New Roman" w:hAnsi="Times New Roman" w:cs="Times New Roman"/>
          <w:sz w:val="24"/>
          <w:szCs w:val="24"/>
        </w:rPr>
        <w:t xml:space="preserve"> </w:t>
      </w:r>
      <w:r w:rsidR="00D6571D">
        <w:rPr>
          <w:rFonts w:ascii="Times New Roman" w:hAnsi="Times New Roman" w:cs="Times New Roman"/>
          <w:sz w:val="24"/>
          <w:szCs w:val="24"/>
        </w:rPr>
        <w:t>главе</w:t>
      </w:r>
      <w:r w:rsidR="00A80F3C">
        <w:rPr>
          <w:rFonts w:ascii="Times New Roman" w:hAnsi="Times New Roman" w:cs="Times New Roman"/>
          <w:sz w:val="24"/>
          <w:szCs w:val="24"/>
        </w:rPr>
        <w:t xml:space="preserve"> 2, ст. 20, п.5 Градостроительного регламента. Жилая зона (Ж)</w:t>
      </w:r>
      <w:r w:rsidR="009040B0">
        <w:rPr>
          <w:rFonts w:ascii="Times New Roman" w:hAnsi="Times New Roman" w:cs="Times New Roman"/>
          <w:sz w:val="24"/>
          <w:szCs w:val="24"/>
        </w:rPr>
        <w:t xml:space="preserve"> </w:t>
      </w:r>
      <w:r w:rsidR="00A80F3C">
        <w:rPr>
          <w:rFonts w:ascii="Times New Roman" w:hAnsi="Times New Roman" w:cs="Times New Roman"/>
          <w:sz w:val="24"/>
          <w:szCs w:val="24"/>
        </w:rPr>
        <w:t>«Предельные размеры земельных участков, предельные параметры разрешенного строительства, реконструкции объектов капитального строительства зоны Ж</w:t>
      </w:r>
      <w:r w:rsidR="00A80F3C" w:rsidRPr="00A80F3C">
        <w:rPr>
          <w:rFonts w:ascii="Times New Roman" w:hAnsi="Times New Roman" w:cs="Times New Roman"/>
          <w:sz w:val="24"/>
          <w:szCs w:val="24"/>
        </w:rPr>
        <w:t>»</w:t>
      </w:r>
      <w:r w:rsidR="00D6571D"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A80F3C" w:rsidRPr="00A80F3C">
        <w:rPr>
          <w:rFonts w:ascii="Times New Roman" w:hAnsi="Times New Roman" w:cs="Times New Roman"/>
          <w:sz w:val="24"/>
          <w:szCs w:val="24"/>
        </w:rPr>
        <w:t xml:space="preserve"> </w:t>
      </w:r>
      <w:r w:rsidR="009040B0">
        <w:rPr>
          <w:rFonts w:ascii="Times New Roman" w:hAnsi="Times New Roman" w:cs="Times New Roman"/>
          <w:sz w:val="24"/>
          <w:szCs w:val="24"/>
        </w:rPr>
        <w:t xml:space="preserve">2.2 изменить минимальный размер земельного участка для блокированной жилой застройки, малоэтажной многоквартирной жилой застройки </w:t>
      </w:r>
      <w:r w:rsidR="003A008D">
        <w:rPr>
          <w:rFonts w:ascii="Times New Roman" w:hAnsi="Times New Roman" w:cs="Times New Roman"/>
          <w:sz w:val="24"/>
          <w:szCs w:val="24"/>
        </w:rPr>
        <w:t xml:space="preserve">с 2 000 </w:t>
      </w:r>
      <w:proofErr w:type="spellStart"/>
      <w:r w:rsidR="003A008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A008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3A008D">
        <w:rPr>
          <w:rFonts w:ascii="Times New Roman" w:hAnsi="Times New Roman" w:cs="Times New Roman"/>
          <w:sz w:val="24"/>
          <w:szCs w:val="24"/>
        </w:rPr>
        <w:t xml:space="preserve"> </w:t>
      </w:r>
      <w:r w:rsidR="009040B0">
        <w:rPr>
          <w:rFonts w:ascii="Times New Roman" w:hAnsi="Times New Roman" w:cs="Times New Roman"/>
          <w:sz w:val="24"/>
          <w:szCs w:val="24"/>
        </w:rPr>
        <w:t xml:space="preserve">на 1 000 </w:t>
      </w:r>
      <w:proofErr w:type="spellStart"/>
      <w:r w:rsidR="009040B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040B0">
        <w:rPr>
          <w:rFonts w:ascii="Times New Roman" w:hAnsi="Times New Roman" w:cs="Times New Roman"/>
          <w:sz w:val="24"/>
          <w:szCs w:val="24"/>
        </w:rPr>
        <w:t>.</w:t>
      </w:r>
      <w:r w:rsidR="00AD4A99">
        <w:rPr>
          <w:rFonts w:ascii="Times New Roman" w:hAnsi="Times New Roman" w:cs="Times New Roman"/>
          <w:sz w:val="24"/>
          <w:szCs w:val="24"/>
        </w:rPr>
        <w:t>:</w:t>
      </w:r>
      <w:r w:rsidR="00A80F3C" w:rsidRPr="00A80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71D" w:rsidRPr="00AD4A99" w:rsidRDefault="00D6571D" w:rsidP="00AD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редельные</w:t>
      </w:r>
      <w:proofErr w:type="spellEnd"/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размеры земельных участков, предельные параметры разрешенного строительства, реконструкции объектов капитального строительства</w:t>
      </w: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зоны</w:t>
      </w:r>
      <w:proofErr w:type="gramStart"/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Ж</w:t>
      </w:r>
      <w:proofErr w:type="gramEnd"/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представлен в таблице 2.2</w:t>
      </w:r>
    </w:p>
    <w:p w:rsidR="00D6571D" w:rsidRDefault="00D6571D" w:rsidP="009040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4A99" w:rsidRDefault="00AD4A99" w:rsidP="009040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4A99" w:rsidRDefault="00AD4A99" w:rsidP="009040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40B0" w:rsidRDefault="009040B0" w:rsidP="00904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2.2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1275"/>
        <w:gridCol w:w="4820"/>
      </w:tblGrid>
      <w:tr w:rsidR="009040B0" w:rsidRPr="009040B0" w:rsidTr="00E4705F">
        <w:tc>
          <w:tcPr>
            <w:tcW w:w="541" w:type="dxa"/>
          </w:tcPr>
          <w:p w:rsidR="009040B0" w:rsidRPr="009040B0" w:rsidRDefault="009040B0" w:rsidP="009040B0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040B0" w:rsidRDefault="009040B0" w:rsidP="009040B0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040B0" w:rsidRPr="009040B0" w:rsidRDefault="009040B0" w:rsidP="009040B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15" w:type="dxa"/>
          </w:tcPr>
          <w:p w:rsidR="009040B0" w:rsidRPr="009040B0" w:rsidRDefault="009040B0" w:rsidP="009040B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</w:tcPr>
          <w:p w:rsidR="009040B0" w:rsidRPr="009040B0" w:rsidRDefault="009040B0" w:rsidP="009040B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</w:tcPr>
          <w:p w:rsidR="009040B0" w:rsidRPr="009040B0" w:rsidRDefault="00E4705F" w:rsidP="00E470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E4705F" w:rsidRPr="009040B0" w:rsidTr="00E4705F">
        <w:trPr>
          <w:trHeight w:val="958"/>
        </w:trPr>
        <w:tc>
          <w:tcPr>
            <w:tcW w:w="541" w:type="dxa"/>
            <w:vMerge w:val="restart"/>
          </w:tcPr>
          <w:p w:rsidR="00E4705F" w:rsidRPr="009040B0" w:rsidRDefault="00E4705F" w:rsidP="009040B0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  <w:vMerge w:val="restart"/>
          </w:tcPr>
          <w:p w:rsidR="00E4705F" w:rsidRPr="009040B0" w:rsidRDefault="00E4705F" w:rsidP="00E4705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1275" w:type="dxa"/>
            <w:vMerge w:val="restart"/>
          </w:tcPr>
          <w:p w:rsidR="00E4705F" w:rsidRPr="009040B0" w:rsidRDefault="00E4705F" w:rsidP="00E4705F">
            <w:pPr>
              <w:spacing w:after="200" w:line="276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820" w:type="dxa"/>
          </w:tcPr>
          <w:p w:rsidR="00E4705F" w:rsidRPr="009040B0" w:rsidRDefault="00E4705F" w:rsidP="00E4705F">
            <w:pPr>
              <w:spacing w:after="200"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1 000- для индивидуального жилищного строительства, ведения личного подсобного хозяйства</w:t>
            </w:r>
          </w:p>
        </w:tc>
      </w:tr>
      <w:tr w:rsidR="00E4705F" w:rsidRPr="009040B0" w:rsidTr="00E4705F">
        <w:tc>
          <w:tcPr>
            <w:tcW w:w="541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705F" w:rsidRPr="009040B0" w:rsidRDefault="00E4705F" w:rsidP="00E47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1 000 - </w:t>
            </w:r>
            <w:r w:rsidRPr="00E4705F">
              <w:rPr>
                <w:rFonts w:ascii="Times New Roman" w:hAnsi="Times New Roman" w:cs="Times New Roman"/>
                <w:sz w:val="24"/>
                <w:szCs w:val="24"/>
              </w:rPr>
              <w:t xml:space="preserve">для блокированной жилой застройки, малоэтажной многоквартирной жилой застройки </w:t>
            </w:r>
          </w:p>
        </w:tc>
      </w:tr>
      <w:tr w:rsidR="00E4705F" w:rsidRPr="009040B0" w:rsidTr="00E4705F">
        <w:tc>
          <w:tcPr>
            <w:tcW w:w="541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705F" w:rsidRPr="009040B0" w:rsidRDefault="00E4705F" w:rsidP="00E47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для коммунального обслуживания (котельные, КНС, АТС, КТП, ЗТП, ШРП, ГРП, ТП)</w:t>
            </w:r>
          </w:p>
        </w:tc>
      </w:tr>
      <w:tr w:rsidR="00E4705F" w:rsidRPr="009040B0" w:rsidTr="00E4705F">
        <w:tc>
          <w:tcPr>
            <w:tcW w:w="541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705F" w:rsidRPr="009040B0" w:rsidRDefault="00E4705F" w:rsidP="009040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705F" w:rsidRPr="009040B0" w:rsidRDefault="00E4705F" w:rsidP="00E4705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– для прочих объектов </w:t>
            </w:r>
          </w:p>
        </w:tc>
      </w:tr>
    </w:tbl>
    <w:p w:rsidR="003A008D" w:rsidRDefault="003A008D" w:rsidP="00A80F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AAA" w:rsidRPr="00C97AAA" w:rsidRDefault="00D6571D" w:rsidP="00C97A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</w:t>
      </w:r>
      <w:r w:rsidR="0059209A">
        <w:rPr>
          <w:rFonts w:ascii="Times New Roman" w:hAnsi="Times New Roman" w:cs="Times New Roman"/>
          <w:sz w:val="24"/>
          <w:szCs w:val="24"/>
        </w:rPr>
        <w:t xml:space="preserve"> ст. 23, п.4</w:t>
      </w:r>
      <w:r w:rsidR="00C97AAA" w:rsidRPr="00C97AAA">
        <w:rPr>
          <w:rFonts w:ascii="Times New Roman" w:hAnsi="Times New Roman" w:cs="Times New Roman"/>
          <w:sz w:val="24"/>
          <w:szCs w:val="24"/>
        </w:rPr>
        <w:t xml:space="preserve"> Градостроительного регламента. </w:t>
      </w:r>
      <w:r w:rsidR="0059209A">
        <w:rPr>
          <w:rFonts w:ascii="Times New Roman" w:hAnsi="Times New Roman" w:cs="Times New Roman"/>
          <w:sz w:val="24"/>
          <w:szCs w:val="24"/>
        </w:rPr>
        <w:t xml:space="preserve">Предельные размеры земельных участков, предельные параметры разрешённого строительства, реконструкции объектов капитального строительства зоны П-1 </w:t>
      </w:r>
      <w:r w:rsidR="00C97AAA" w:rsidRPr="00C97AAA">
        <w:rPr>
          <w:rFonts w:ascii="Times New Roman" w:hAnsi="Times New Roman" w:cs="Times New Roman"/>
          <w:sz w:val="24"/>
          <w:szCs w:val="24"/>
        </w:rPr>
        <w:t xml:space="preserve">» таблица </w:t>
      </w:r>
      <w:r w:rsidR="0059209A">
        <w:rPr>
          <w:rFonts w:ascii="Times New Roman" w:hAnsi="Times New Roman" w:cs="Times New Roman"/>
          <w:sz w:val="24"/>
          <w:szCs w:val="24"/>
        </w:rPr>
        <w:t>5.2, п.2</w:t>
      </w:r>
      <w:r w:rsidR="00C97AAA" w:rsidRPr="00C97AAA">
        <w:rPr>
          <w:rFonts w:ascii="Times New Roman" w:hAnsi="Times New Roman" w:cs="Times New Roman"/>
          <w:sz w:val="24"/>
          <w:szCs w:val="24"/>
        </w:rPr>
        <w:t xml:space="preserve"> измени</w:t>
      </w:r>
      <w:r w:rsidR="00C100E9">
        <w:rPr>
          <w:rFonts w:ascii="Times New Roman" w:hAnsi="Times New Roman" w:cs="Times New Roman"/>
          <w:sz w:val="24"/>
          <w:szCs w:val="24"/>
        </w:rPr>
        <w:t>ть максимальный</w:t>
      </w:r>
      <w:r w:rsidR="00C97AAA" w:rsidRPr="00C97AAA">
        <w:rPr>
          <w:rFonts w:ascii="Times New Roman" w:hAnsi="Times New Roman" w:cs="Times New Roman"/>
          <w:sz w:val="24"/>
          <w:szCs w:val="24"/>
        </w:rPr>
        <w:t xml:space="preserve"> размер земельного участка </w:t>
      </w:r>
      <w:r w:rsidR="0059209A">
        <w:rPr>
          <w:rFonts w:ascii="Times New Roman" w:hAnsi="Times New Roman" w:cs="Times New Roman"/>
          <w:sz w:val="24"/>
          <w:szCs w:val="24"/>
        </w:rPr>
        <w:t xml:space="preserve">с 50 000 </w:t>
      </w:r>
      <w:proofErr w:type="spellStart"/>
      <w:r w:rsidR="0059209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9209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59209A">
        <w:rPr>
          <w:rFonts w:ascii="Times New Roman" w:hAnsi="Times New Roman" w:cs="Times New Roman"/>
          <w:sz w:val="24"/>
          <w:szCs w:val="24"/>
        </w:rPr>
        <w:t xml:space="preserve"> на 25</w:t>
      </w:r>
      <w:r w:rsidR="00C100E9">
        <w:rPr>
          <w:rFonts w:ascii="Times New Roman" w:hAnsi="Times New Roman" w:cs="Times New Roman"/>
          <w:sz w:val="24"/>
          <w:szCs w:val="24"/>
        </w:rPr>
        <w:t>0</w:t>
      </w:r>
      <w:r w:rsidR="00C97AAA" w:rsidRPr="00C97AAA">
        <w:rPr>
          <w:rFonts w:ascii="Times New Roman" w:hAnsi="Times New Roman" w:cs="Times New Roman"/>
          <w:sz w:val="24"/>
          <w:szCs w:val="24"/>
        </w:rPr>
        <w:t xml:space="preserve"> 000 </w:t>
      </w:r>
      <w:proofErr w:type="spellStart"/>
      <w:r w:rsidR="00C97AAA" w:rsidRPr="00C97AA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97AAA" w:rsidRPr="00C97AAA">
        <w:rPr>
          <w:rFonts w:ascii="Times New Roman" w:hAnsi="Times New Roman" w:cs="Times New Roman"/>
          <w:sz w:val="24"/>
          <w:szCs w:val="24"/>
        </w:rPr>
        <w:t>.</w:t>
      </w:r>
      <w:r w:rsidR="00AD4A99">
        <w:rPr>
          <w:rFonts w:ascii="Times New Roman" w:hAnsi="Times New Roman" w:cs="Times New Roman"/>
          <w:sz w:val="24"/>
          <w:szCs w:val="24"/>
        </w:rPr>
        <w:t>:</w:t>
      </w:r>
    </w:p>
    <w:p w:rsidR="00D6571D" w:rsidRPr="00D6571D" w:rsidRDefault="00D6571D" w:rsidP="00D6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>4.</w:t>
      </w:r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редельные</w:t>
      </w:r>
      <w:proofErr w:type="spellEnd"/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размеры земельных участков, предельные параметры разрешенного строительства, реконструкции объектов капитального</w:t>
      </w: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65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строительства</w:t>
      </w: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зоны П-1 представлены в таблице 5.2.</w:t>
      </w:r>
    </w:p>
    <w:p w:rsidR="00D6571D" w:rsidRPr="00D6571D" w:rsidRDefault="00D6571D" w:rsidP="00D657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6571D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Таблица 5.2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4394"/>
      </w:tblGrid>
      <w:tr w:rsidR="00D6571D" w:rsidRPr="00D6571D" w:rsidTr="00426BC5">
        <w:trPr>
          <w:trHeight w:val="543"/>
          <w:tblHeader/>
        </w:trPr>
        <w:tc>
          <w:tcPr>
            <w:tcW w:w="567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261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417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Количество</w:t>
            </w:r>
          </w:p>
        </w:tc>
      </w:tr>
      <w:tr w:rsidR="00D6571D" w:rsidRPr="00D6571D" w:rsidTr="00426BC5">
        <w:trPr>
          <w:trHeight w:val="196"/>
        </w:trPr>
        <w:tc>
          <w:tcPr>
            <w:tcW w:w="56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Минимальный размер земельного участка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1000</w:t>
            </w:r>
          </w:p>
        </w:tc>
      </w:tr>
      <w:tr w:rsidR="00D6571D" w:rsidRPr="00D6571D" w:rsidTr="00426BC5">
        <w:trPr>
          <w:trHeight w:val="196"/>
        </w:trPr>
        <w:tc>
          <w:tcPr>
            <w:tcW w:w="56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10 – для коммунального обслуживания (котельные, КНС, АТС, КТП, ЗТП, ШРП, ГРП, ТП)</w:t>
            </w:r>
          </w:p>
        </w:tc>
      </w:tr>
      <w:tr w:rsidR="00D6571D" w:rsidRPr="00D6571D" w:rsidTr="00426BC5">
        <w:trPr>
          <w:trHeight w:val="417"/>
        </w:trPr>
        <w:tc>
          <w:tcPr>
            <w:tcW w:w="567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Максимальный размер земельного участка</w:t>
            </w:r>
          </w:p>
        </w:tc>
        <w:tc>
          <w:tcPr>
            <w:tcW w:w="1417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250</w:t>
            </w: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000</w:t>
            </w:r>
          </w:p>
        </w:tc>
      </w:tr>
      <w:tr w:rsidR="00D6571D" w:rsidRPr="00D6571D" w:rsidTr="00426BC5">
        <w:trPr>
          <w:trHeight w:val="956"/>
        </w:trPr>
        <w:tc>
          <w:tcPr>
            <w:tcW w:w="56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Максимальный процент </w:t>
            </w:r>
            <w:r w:rsidRPr="00D657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80</w:t>
            </w:r>
          </w:p>
        </w:tc>
      </w:tr>
      <w:tr w:rsidR="00D6571D" w:rsidRPr="00D6571D" w:rsidTr="00426BC5">
        <w:trPr>
          <w:trHeight w:val="956"/>
        </w:trPr>
        <w:tc>
          <w:tcPr>
            <w:tcW w:w="56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90 – для коммунального обслуживания (котельные, КНС, АТС, КТП, ЗТП, ШРП, ГРП, ТП)</w:t>
            </w:r>
          </w:p>
        </w:tc>
      </w:tr>
      <w:tr w:rsidR="00D6571D" w:rsidRPr="00D6571D" w:rsidTr="00426BC5">
        <w:trPr>
          <w:trHeight w:val="1060"/>
        </w:trPr>
        <w:tc>
          <w:tcPr>
            <w:tcW w:w="56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красных линий и границ земельных участков в целях </w:t>
            </w: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м</w:t>
            </w:r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571D" w:rsidRPr="00D6571D" w:rsidTr="00426BC5">
        <w:trPr>
          <w:trHeight w:val="1060"/>
        </w:trPr>
        <w:tc>
          <w:tcPr>
            <w:tcW w:w="56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коммунального обслуживания </w:t>
            </w: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(котельные, КНС, АТС, КТП, ЗТП, ШРП, ГРП, ТП):</w:t>
            </w:r>
          </w:p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 – от границ земельного участка;</w:t>
            </w:r>
          </w:p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 – от красных линий (улиц и проездов)</w:t>
            </w:r>
          </w:p>
        </w:tc>
      </w:tr>
      <w:tr w:rsidR="00D6571D" w:rsidRPr="00D6571D" w:rsidTr="00426BC5">
        <w:trPr>
          <w:trHeight w:val="64"/>
        </w:trPr>
        <w:tc>
          <w:tcPr>
            <w:tcW w:w="567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</w:t>
            </w:r>
          </w:p>
        </w:tc>
        <w:tc>
          <w:tcPr>
            <w:tcW w:w="1417" w:type="dxa"/>
            <w:vAlign w:val="center"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D6571D" w:rsidRPr="00D6571D" w:rsidTr="00426BC5">
        <w:trPr>
          <w:trHeight w:val="64"/>
        </w:trPr>
        <w:tc>
          <w:tcPr>
            <w:tcW w:w="567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высота зданий, строений</w:t>
            </w:r>
          </w:p>
        </w:tc>
        <w:tc>
          <w:tcPr>
            <w:tcW w:w="1417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94" w:type="dxa"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15</w:t>
            </w:r>
          </w:p>
        </w:tc>
      </w:tr>
      <w:tr w:rsidR="00D6571D" w:rsidRPr="00D6571D" w:rsidTr="00426BC5">
        <w:trPr>
          <w:trHeight w:val="64"/>
        </w:trPr>
        <w:tc>
          <w:tcPr>
            <w:tcW w:w="567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высота сооружений</w:t>
            </w:r>
          </w:p>
        </w:tc>
        <w:tc>
          <w:tcPr>
            <w:tcW w:w="1417" w:type="dxa"/>
            <w:vAlign w:val="center"/>
          </w:tcPr>
          <w:p w:rsidR="00D6571D" w:rsidRPr="00D6571D" w:rsidRDefault="00D6571D" w:rsidP="00D657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94" w:type="dxa"/>
            <w:vAlign w:val="center"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40</w:t>
            </w:r>
          </w:p>
        </w:tc>
      </w:tr>
      <w:tr w:rsidR="00D6571D" w:rsidRPr="00D6571D" w:rsidTr="00426BC5">
        <w:trPr>
          <w:trHeight w:val="953"/>
        </w:trPr>
        <w:tc>
          <w:tcPr>
            <w:tcW w:w="567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высота ограждений земельных участков, выполненных в «глухом», или «прозрачном» исполнении</w:t>
            </w:r>
          </w:p>
        </w:tc>
        <w:tc>
          <w:tcPr>
            <w:tcW w:w="1417" w:type="dxa"/>
            <w:vAlign w:val="center"/>
            <w:hideMark/>
          </w:tcPr>
          <w:p w:rsidR="00D6571D" w:rsidRPr="00D6571D" w:rsidRDefault="00D6571D" w:rsidP="00D6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94" w:type="dxa"/>
            <w:vAlign w:val="center"/>
            <w:hideMark/>
          </w:tcPr>
          <w:p w:rsidR="00D6571D" w:rsidRPr="00D6571D" w:rsidRDefault="00D6571D" w:rsidP="00D657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D6571D" w:rsidRPr="00D6571D" w:rsidRDefault="00D6571D" w:rsidP="00D65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74E" w:rsidRPr="005D602B" w:rsidRDefault="00FE27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74E" w:rsidRPr="005D602B" w:rsidSect="00AD4A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40"/>
    <w:rsid w:val="0002698C"/>
    <w:rsid w:val="00036B88"/>
    <w:rsid w:val="000E7438"/>
    <w:rsid w:val="00123237"/>
    <w:rsid w:val="0013319C"/>
    <w:rsid w:val="00187ECA"/>
    <w:rsid w:val="001F66F3"/>
    <w:rsid w:val="002D5103"/>
    <w:rsid w:val="00322240"/>
    <w:rsid w:val="003A008D"/>
    <w:rsid w:val="003C4301"/>
    <w:rsid w:val="004C392C"/>
    <w:rsid w:val="005054BD"/>
    <w:rsid w:val="00552469"/>
    <w:rsid w:val="00567FB2"/>
    <w:rsid w:val="0058290E"/>
    <w:rsid w:val="0059209A"/>
    <w:rsid w:val="005D602B"/>
    <w:rsid w:val="005D747F"/>
    <w:rsid w:val="0062423B"/>
    <w:rsid w:val="0062779E"/>
    <w:rsid w:val="00787B36"/>
    <w:rsid w:val="007A2F53"/>
    <w:rsid w:val="009040B0"/>
    <w:rsid w:val="009C7CCC"/>
    <w:rsid w:val="00A80F3C"/>
    <w:rsid w:val="00AD4A99"/>
    <w:rsid w:val="00B01A61"/>
    <w:rsid w:val="00C100E9"/>
    <w:rsid w:val="00C105D1"/>
    <w:rsid w:val="00C97AAA"/>
    <w:rsid w:val="00CA44E0"/>
    <w:rsid w:val="00D14379"/>
    <w:rsid w:val="00D506F9"/>
    <w:rsid w:val="00D6571D"/>
    <w:rsid w:val="00D65830"/>
    <w:rsid w:val="00D87039"/>
    <w:rsid w:val="00DD6958"/>
    <w:rsid w:val="00E14BCE"/>
    <w:rsid w:val="00E4705F"/>
    <w:rsid w:val="00E5127E"/>
    <w:rsid w:val="00E6443A"/>
    <w:rsid w:val="00E80668"/>
    <w:rsid w:val="00F16A2F"/>
    <w:rsid w:val="00F70FB5"/>
    <w:rsid w:val="00F77EDD"/>
    <w:rsid w:val="00FB2CFE"/>
    <w:rsid w:val="00FD3B6E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6C09-DCA6-4C6D-BAAC-9ABFAC35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Горнякское</dc:creator>
  <cp:keywords/>
  <dc:description/>
  <cp:lastModifiedBy>МО Горнякское</cp:lastModifiedBy>
  <cp:revision>19</cp:revision>
  <cp:lastPrinted>2025-10-23T10:26:00Z</cp:lastPrinted>
  <dcterms:created xsi:type="dcterms:W3CDTF">2025-03-10T06:30:00Z</dcterms:created>
  <dcterms:modified xsi:type="dcterms:W3CDTF">2025-10-23T10:33:00Z</dcterms:modified>
</cp:coreProperties>
</file>